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74" w:rsidRDefault="00271074" w:rsidP="00271074">
      <w:pPr>
        <w:spacing w:after="0" w:line="240" w:lineRule="auto"/>
        <w:ind w:right="-766"/>
        <w:jc w:val="right"/>
        <w:rPr>
          <w:rFonts w:ascii="Times New Roman" w:hAnsi="Times New Roman" w:cs="Times New Roman"/>
          <w:sz w:val="28"/>
          <w:szCs w:val="28"/>
        </w:rPr>
      </w:pPr>
    </w:p>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2B3CD3">
        <w:trPr>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2A3496" w:rsidRDefault="00D245D5" w:rsidP="002B3CD3">
            <w:pPr>
              <w:rPr>
                <w:rFonts w:ascii="Arial Black" w:hAnsi="Arial Black"/>
                <w:sz w:val="36"/>
                <w:szCs w:val="36"/>
              </w:rPr>
            </w:pPr>
            <w:r w:rsidRPr="002A3496">
              <w:rPr>
                <w:rFonts w:ascii="Arial Black" w:hAnsi="Arial Black"/>
                <w:sz w:val="36"/>
                <w:szCs w:val="36"/>
              </w:rPr>
              <w:t>ΕΡΓΑΤΟΫΠΑΛΛΗΛΙΚΟ ΚΕΝΤΡΟ ΑΘΗΝΑΣ</w:t>
            </w:r>
          </w:p>
          <w:p w:rsidR="00D245D5" w:rsidRDefault="00D245D5" w:rsidP="002B3CD3"/>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D245D5" w:rsidRDefault="00D245D5" w:rsidP="00D245D5">
      <w:pPr>
        <w:jc w:val="center"/>
        <w:rPr>
          <w:rFonts w:ascii="Tahoma" w:hAnsi="Tahoma" w:cs="Tahoma"/>
          <w:b/>
          <w:lang w:val="en-GB"/>
        </w:rPr>
      </w:pPr>
    </w:p>
    <w:p w:rsidR="00D245D5" w:rsidRPr="00060CA7" w:rsidRDefault="00D245D5" w:rsidP="00D245D5">
      <w:pPr>
        <w:jc w:val="center"/>
        <w:rPr>
          <w:rFonts w:ascii="Tahoma" w:hAnsi="Tahoma" w:cs="Tahoma"/>
          <w:b/>
          <w:lang w:val="en-GB"/>
        </w:rPr>
      </w:pPr>
    </w:p>
    <w:p w:rsidR="00D245D5" w:rsidRPr="00F63FBE" w:rsidRDefault="00D245D5" w:rsidP="00D245D5">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Pr="00F63FBE">
        <w:rPr>
          <w:rFonts w:ascii="Tahoma" w:hAnsi="Tahoma" w:cs="Tahoma"/>
          <w:sz w:val="26"/>
          <w:szCs w:val="26"/>
        </w:rPr>
        <w:t>4</w:t>
      </w:r>
      <w:r w:rsidR="00D25CF1">
        <w:rPr>
          <w:rFonts w:ascii="Tahoma" w:hAnsi="Tahoma" w:cs="Tahoma"/>
          <w:sz w:val="26"/>
          <w:szCs w:val="26"/>
        </w:rPr>
        <w:t>681</w:t>
      </w:r>
      <w:bookmarkStart w:id="0" w:name="_GoBack"/>
      <w:bookmarkEnd w:id="0"/>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25CF1">
        <w:rPr>
          <w:rFonts w:ascii="Tahoma" w:hAnsi="Tahoma" w:cs="Tahoma"/>
          <w:sz w:val="26"/>
          <w:szCs w:val="26"/>
        </w:rPr>
        <w:t>02</w:t>
      </w:r>
      <w:r w:rsidRPr="00F63FBE">
        <w:rPr>
          <w:rFonts w:ascii="Tahoma" w:hAnsi="Tahoma" w:cs="Tahoma"/>
          <w:sz w:val="26"/>
          <w:szCs w:val="26"/>
        </w:rPr>
        <w:t>/0</w:t>
      </w:r>
      <w:r w:rsidR="00D25CF1">
        <w:rPr>
          <w:rFonts w:ascii="Tahoma" w:hAnsi="Tahoma" w:cs="Tahoma"/>
          <w:sz w:val="26"/>
          <w:szCs w:val="26"/>
        </w:rPr>
        <w:t>9</w:t>
      </w:r>
      <w:r>
        <w:rPr>
          <w:rFonts w:ascii="Tahoma" w:hAnsi="Tahoma" w:cs="Tahoma"/>
          <w:sz w:val="26"/>
          <w:szCs w:val="26"/>
        </w:rPr>
        <w:t>/201</w:t>
      </w:r>
      <w:r w:rsidRPr="00F63FBE">
        <w:rPr>
          <w:rFonts w:ascii="Tahoma" w:hAnsi="Tahoma" w:cs="Tahoma"/>
          <w:sz w:val="26"/>
          <w:szCs w:val="26"/>
        </w:rPr>
        <w:t>5</w:t>
      </w:r>
    </w:p>
    <w:p w:rsidR="00D245D5" w:rsidRDefault="00D245D5" w:rsidP="00D245D5">
      <w:pPr>
        <w:jc w:val="center"/>
        <w:rPr>
          <w:rFonts w:ascii="Tahoma" w:hAnsi="Tahoma" w:cs="Tahoma"/>
          <w:b/>
          <w:spacing w:val="120"/>
          <w:u w:val="thick"/>
        </w:rPr>
      </w:pPr>
    </w:p>
    <w:p w:rsidR="00D245D5" w:rsidRPr="00F63FBE" w:rsidRDefault="00D245D5" w:rsidP="00D245D5">
      <w:pPr>
        <w:jc w:val="center"/>
        <w:rPr>
          <w:rFonts w:ascii="Tahoma" w:hAnsi="Tahoma" w:cs="Tahoma"/>
          <w:b/>
          <w:spacing w:val="120"/>
          <w:sz w:val="36"/>
          <w:u w:val="thick"/>
        </w:rPr>
      </w:pPr>
    </w:p>
    <w:p w:rsidR="00D245D5" w:rsidRPr="00E8759B" w:rsidRDefault="00D245D5" w:rsidP="00D245D5">
      <w:pPr>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D245D5" w:rsidRDefault="00D245D5" w:rsidP="00D24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Το Εργατικό Κέντρο Αθήνας καταγγέλλει την εταιρεία ΣΟΣΙΦΑΡ ΕΛΛΑΣ ΑΕΒΕ (ανήκει στον κλάδο των καλλυντικών) που επέλεξε να μην καταβάλει μισθοδοσία στο σύνολο του προσωπικού, τους μήνες Ιούλιο και Αύγουστο.</w:t>
      </w:r>
    </w:p>
    <w:p w:rsidR="00D245D5" w:rsidRDefault="00D245D5" w:rsidP="00D245D5">
      <w:pPr>
        <w:spacing w:after="0" w:line="240" w:lineRule="auto"/>
        <w:jc w:val="both"/>
        <w:rPr>
          <w:rFonts w:ascii="Times New Roman" w:hAnsi="Times New Roman" w:cs="Times New Roman"/>
          <w:sz w:val="28"/>
          <w:szCs w:val="28"/>
        </w:rPr>
      </w:pPr>
    </w:p>
    <w:p w:rsidR="00D245D5" w:rsidRDefault="00D245D5" w:rsidP="00D24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Η ανεξήγητα προκλητική στάση του οικονομικού διευθυντή, που αντί να δεσμευτεί για την ημερομηνία καταβολής των δεδουλευμένων, ειρωνεύεται εκπροσώπους εργαζομένων παραπέμποντας την πληρωμή στην ικανοποίηση «ταμάτων», δείχνει την αντίληψη που επικρατεί για το πόσο αναλώσιμοι είναι οι εργαζόμενοι στην επιχείρηση.</w:t>
      </w:r>
    </w:p>
    <w:p w:rsidR="00D245D5" w:rsidRDefault="00D245D5" w:rsidP="00D245D5">
      <w:pPr>
        <w:spacing w:after="0" w:line="240" w:lineRule="auto"/>
        <w:jc w:val="both"/>
        <w:rPr>
          <w:rFonts w:ascii="Times New Roman" w:hAnsi="Times New Roman" w:cs="Times New Roman"/>
          <w:sz w:val="28"/>
          <w:szCs w:val="28"/>
        </w:rPr>
      </w:pPr>
    </w:p>
    <w:p w:rsidR="00D245D5" w:rsidRDefault="00D245D5" w:rsidP="00D24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Καλούμε την εργοδοσία της ΣΟΣΙΦΑΡ ΕΛΛΑΣ ΑΕΒΕ να καταβάλει άμεσα τα δεδουλευμένα που παράνομα και απάνθρωπα παρακρατεί από τους εργαζόμενούς της. </w:t>
      </w:r>
    </w:p>
    <w:p w:rsidR="00D245D5" w:rsidRDefault="00D245D5" w:rsidP="00D245D5">
      <w:pPr>
        <w:rPr>
          <w:rFonts w:ascii="Tahoma" w:hAnsi="Tahoma" w:cs="Tahoma"/>
        </w:rPr>
      </w:pPr>
    </w:p>
    <w:p w:rsidR="00D245D5" w:rsidRPr="009D4AB5" w:rsidRDefault="00D245D5" w:rsidP="00D245D5">
      <w:pPr>
        <w:ind w:firstLine="720"/>
        <w:jc w:val="both"/>
        <w:rPr>
          <w:sz w:val="26"/>
          <w:szCs w:val="26"/>
        </w:rPr>
      </w:pPr>
    </w:p>
    <w:p w:rsidR="00271074" w:rsidRDefault="00D245D5" w:rsidP="00D25CF1">
      <w:pPr>
        <w:jc w:val="center"/>
        <w:rPr>
          <w:rFonts w:ascii="Times New Roman" w:hAnsi="Times New Roman" w:cs="Times New Roman"/>
          <w:sz w:val="28"/>
          <w:szCs w:val="28"/>
        </w:rPr>
      </w:pPr>
      <w:r w:rsidRPr="00F63FBE">
        <w:rPr>
          <w:b/>
          <w:sz w:val="28"/>
          <w:szCs w:val="28"/>
        </w:rPr>
        <w:t>Το Δ.Σ.</w:t>
      </w:r>
    </w:p>
    <w:p w:rsidR="00271074" w:rsidRDefault="00271074" w:rsidP="00271074">
      <w:pPr>
        <w:spacing w:after="0" w:line="240" w:lineRule="auto"/>
        <w:ind w:right="-766"/>
        <w:jc w:val="right"/>
        <w:rPr>
          <w:rFonts w:ascii="Times New Roman" w:hAnsi="Times New Roman" w:cs="Times New Roman"/>
          <w:sz w:val="28"/>
          <w:szCs w:val="28"/>
        </w:rPr>
      </w:pPr>
    </w:p>
    <w:sectPr w:rsidR="002710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F15D3"/>
    <w:rsid w:val="00271074"/>
    <w:rsid w:val="002F430D"/>
    <w:rsid w:val="00633A13"/>
    <w:rsid w:val="00BD3979"/>
    <w:rsid w:val="00D245D5"/>
    <w:rsid w:val="00D25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795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5</cp:revision>
  <cp:lastPrinted>2015-09-02T11:20:00Z</cp:lastPrinted>
  <dcterms:created xsi:type="dcterms:W3CDTF">2015-09-02T11:10:00Z</dcterms:created>
  <dcterms:modified xsi:type="dcterms:W3CDTF">2015-09-02T11:30:00Z</dcterms:modified>
</cp:coreProperties>
</file>